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2934583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kern w:val="36"/>
          <w:sz w:val="36"/>
          <w:szCs w:val="26"/>
          <w:lang w:eastAsia="ru-RU"/>
        </w:rPr>
      </w:sdtEndPr>
      <w:sdtContent>
        <w:p w:rsidR="00B006B1" w:rsidRDefault="00B006B1">
          <w:pPr>
            <w:rPr>
              <w:rFonts w:ascii="Times New Roman" w:eastAsia="Times New Roman" w:hAnsi="Times New Roman" w:cs="Times New Roman"/>
              <w:b/>
              <w:kern w:val="36"/>
              <w:sz w:val="36"/>
              <w:szCs w:val="26"/>
              <w:lang w:eastAsia="ru-RU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79851F95" wp14:editId="03197F5C">
                    <wp:simplePos x="0" y="0"/>
                    <wp:positionH relativeFrom="page">
                      <wp:posOffset>1579245</wp:posOffset>
                    </wp:positionH>
                    <wp:positionV relativeFrom="margin">
                      <wp:posOffset>788035</wp:posOffset>
                    </wp:positionV>
                    <wp:extent cx="5212080" cy="1709420"/>
                    <wp:effectExtent l="0" t="0" r="7620" b="508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2080" cy="17094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006B1" w:rsidRPr="00B006B1" w:rsidRDefault="00B006B1">
                                <w:pPr>
                                  <w:pStyle w:val="a5"/>
                                  <w:spacing w:before="40" w:after="560" w:line="216" w:lineRule="auto"/>
                                  <w:rPr>
                                    <w:color w:val="C00000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40"/>
                                      <w:szCs w:val="40"/>
                                      <w:bdr w:val="none" w:sz="0" w:space="0" w:color="auto" w:frame="1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bdr w:val="none" w:sz="0" w:space="0" w:color="auto" w:frame="1"/>
                                      </w:rPr>
                                      <w:t xml:space="preserve">                    </w:t>
                                    </w:r>
                                    <w:r w:rsidRPr="00B006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bdr w:val="none" w:sz="0" w:space="0" w:color="auto" w:frame="1"/>
                                      </w:rPr>
                                      <w:t>Профсоюзу 30 лет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bdr w:val="none" w:sz="0" w:space="0" w:color="auto" w:frame="1"/>
                                      </w:rPr>
                                      <w:t xml:space="preserve">                                                                            </w:t>
                                    </w:r>
                                    <w:r w:rsidRPr="00B006B1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color w:val="C00000"/>
                                        <w:sz w:val="40"/>
                                        <w:szCs w:val="40"/>
                                        <w:bdr w:val="none" w:sz="0" w:space="0" w:color="auto" w:frame="1"/>
                                      </w:rPr>
                                      <w:t>«Трудное позади – лучшее впереди!»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3864" w:themeColor="accent5" w:themeShade="80"/>
                                    <w:sz w:val="40"/>
                                    <w:szCs w:val="40"/>
                                  </w:rPr>
                                  <w:alias w:val="Подзаголовок"/>
                                  <w:tag w:val=""/>
                                  <w:id w:val="-2090151685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B006B1" w:rsidRPr="00B006B1" w:rsidRDefault="00B006B1">
                                    <w:pPr>
                                      <w:pStyle w:val="a5"/>
                                      <w:spacing w:before="40" w:after="40"/>
                                      <w:rPr>
                                        <w:caps/>
                                        <w:color w:val="1F3864" w:themeColor="accent5" w:themeShade="80"/>
                                        <w:sz w:val="40"/>
                                        <w:szCs w:val="40"/>
                                      </w:rPr>
                                    </w:pPr>
                                    <w:r w:rsidRPr="00B006B1">
                                      <w:rPr>
                                        <w:caps/>
                                        <w:color w:val="1F3864" w:themeColor="accent5" w:themeShade="80"/>
                                        <w:sz w:val="40"/>
                                        <w:szCs w:val="40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B006B1" w:rsidRPr="00B006B1" w:rsidRDefault="00B006B1">
                                <w:pPr>
                                  <w:pStyle w:val="a5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caps/>
                                    <w:color w:val="4472C4" w:themeColor="accent5"/>
                                    <w:sz w:val="40"/>
                                    <w:szCs w:val="40"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9851F95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124.35pt;margin-top:62.05pt;width:410.4pt;height:134.6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page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" filled="f" stroked="f" strokeweight=".5pt">
                    <v:textbox inset="0,0,0,0">
                      <w:txbxContent>
                        <w:p w:rsidR="00B006B1" w:rsidRPr="00B006B1" w:rsidRDefault="00B006B1">
                          <w:pPr>
                            <w:pStyle w:val="a5"/>
                            <w:spacing w:before="40" w:after="560" w:line="216" w:lineRule="auto"/>
                            <w:rPr>
                              <w:color w:val="C00000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bdr w:val="none" w:sz="0" w:space="0" w:color="auto" w:frame="1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bdr w:val="none" w:sz="0" w:space="0" w:color="auto" w:frame="1"/>
                                </w:rPr>
                                <w:t xml:space="preserve">                    </w:t>
                              </w:r>
                              <w:r w:rsidRPr="00B006B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bdr w:val="none" w:sz="0" w:space="0" w:color="auto" w:frame="1"/>
                                </w:rPr>
                                <w:t>Профсоюзу 30 лет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bdr w:val="none" w:sz="0" w:space="0" w:color="auto" w:frame="1"/>
                                </w:rPr>
                                <w:t xml:space="preserve">                                                                            </w:t>
                              </w:r>
                              <w:r w:rsidRPr="00B006B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sz w:val="40"/>
                                  <w:szCs w:val="40"/>
                                  <w:bdr w:val="none" w:sz="0" w:space="0" w:color="auto" w:frame="1"/>
                                </w:rPr>
                                <w:t>«Трудное позади – лучшее впереди!»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3864" w:themeColor="accent5" w:themeShade="80"/>
                              <w:sz w:val="40"/>
                              <w:szCs w:val="40"/>
                            </w:rPr>
                            <w:alias w:val="Подзаголовок"/>
                            <w:tag w:val=""/>
                            <w:id w:val="-2090151685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B006B1" w:rsidRPr="00B006B1" w:rsidRDefault="00B006B1">
                              <w:pPr>
                                <w:pStyle w:val="a5"/>
                                <w:spacing w:before="40" w:after="40"/>
                                <w:rPr>
                                  <w:caps/>
                                  <w:color w:val="1F3864" w:themeColor="accent5" w:themeShade="80"/>
                                  <w:sz w:val="40"/>
                                  <w:szCs w:val="40"/>
                                </w:rPr>
                              </w:pPr>
                              <w:r w:rsidRPr="00B006B1">
                                <w:rPr>
                                  <w:caps/>
                                  <w:color w:val="1F3864" w:themeColor="accent5" w:themeShade="80"/>
                                  <w:sz w:val="40"/>
                                  <w:szCs w:val="40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:rsidR="00B006B1" w:rsidRPr="00B006B1" w:rsidRDefault="00B006B1">
                          <w:pPr>
                            <w:pStyle w:val="a5"/>
                            <w:spacing w:before="80" w:after="40"/>
                            <w:rPr>
                              <w:caps/>
                              <w:color w:val="4472C4" w:themeColor="accent5"/>
                              <w:sz w:val="40"/>
                              <w:szCs w:val="40"/>
                            </w:rPr>
                          </w:pPr>
                          <w:r>
                            <w:rPr>
                              <w:caps/>
                              <w:color w:val="4472C4" w:themeColor="accent5"/>
                              <w:sz w:val="40"/>
                              <w:szCs w:val="40"/>
                            </w:rPr>
                            <w:t xml:space="preserve">   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409205F" wp14:editId="2D2BA45F">
                    <wp:simplePos x="0" y="0"/>
                    <wp:positionH relativeFrom="rightMargin">
                      <wp:posOffset>-6379292</wp:posOffset>
                    </wp:positionH>
                    <wp:positionV relativeFrom="page">
                      <wp:posOffset>-225631</wp:posOffset>
                    </wp:positionV>
                    <wp:extent cx="6257834" cy="12519862"/>
                    <wp:effectExtent l="0" t="0" r="0" b="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 flipH="1">
                              <a:off x="0" y="0"/>
                              <a:ext cx="6257834" cy="125198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B006B1" w:rsidRDefault="00B006B1" w:rsidP="00B006B1">
                                    <w:pPr>
                                      <w:pStyle w:val="a5"/>
                                      <w:spacing w:before="80" w:after="40"/>
                                      <w:rPr>
                                        <w:rFonts w:eastAsiaTheme="minorHAnsi"/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  <w:lang w:eastAsia="en-US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Пользователь</w:t>
                                    </w:r>
                                  </w:p>
                                </w:sdtContent>
                              </w:sdt>
                              <w:p w:rsidR="00B006B1" w:rsidRDefault="00B006B1">
                                <w:pPr>
                                  <w:pStyle w:val="a5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409205F" id="Прямоугольник 132" o:spid="_x0000_s1027" style="position:absolute;margin-left:-502.3pt;margin-top:-17.75pt;width:492.75pt;height:985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B006B1" w:rsidRDefault="00B006B1" w:rsidP="00B006B1">
                              <w:pPr>
                                <w:pStyle w:val="a5"/>
                                <w:spacing w:before="80" w:after="40"/>
                                <w:rPr>
                                  <w:rFonts w:eastAsiaTheme="minorHAnsi"/>
                                  <w:caps/>
                                  <w:color w:val="4472C4" w:themeColor="accent5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Пользователь</w:t>
                              </w:r>
                            </w:p>
                          </w:sdtContent>
                        </w:sdt>
                        <w:p w:rsidR="00B006B1" w:rsidRDefault="00B006B1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eastAsia="Times New Roman" w:hAnsi="Times New Roman" w:cs="Times New Roman"/>
              <w:b/>
              <w:kern w:val="36"/>
              <w:sz w:val="36"/>
              <w:szCs w:val="26"/>
              <w:lang w:eastAsia="ru-RU"/>
            </w:rPr>
            <w:br w:type="page"/>
          </w:r>
        </w:p>
      </w:sdtContent>
    </w:sdt>
    <w:p w:rsidR="009B22B2" w:rsidRPr="009B22B2" w:rsidRDefault="009B22B2" w:rsidP="009B22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kern w:val="36"/>
          <w:sz w:val="36"/>
          <w:szCs w:val="26"/>
          <w:lang w:eastAsia="ru-RU"/>
        </w:rPr>
        <w:lastRenderedPageBreak/>
        <w:t>С верой в профсоюз</w:t>
      </w: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Отзыв на книгу председателя Чеченской республиканской</w:t>
      </w: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организации Общероссийского профсоюза работников</w:t>
      </w: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народного образования </w:t>
      </w:r>
      <w:proofErr w:type="spellStart"/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Герзелиева</w:t>
      </w:r>
      <w:proofErr w:type="spellEnd"/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Хизира</w:t>
      </w:r>
      <w:proofErr w:type="spellEnd"/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 xml:space="preserve"> Магомедовича</w:t>
      </w: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«Хронология борьбы и труда»</w:t>
      </w:r>
    </w:p>
    <w:p w:rsidR="009B22B2" w:rsidRPr="009B22B2" w:rsidRDefault="009B22B2" w:rsidP="009B22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Сборник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докладов,   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выступлений и публикаций  председателя  Профсоюза народного образования  Чеченской республики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Герзелиева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Хизира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Магомедовича «Хронология борьбы и труда» охватывает период с 1982 по 2014 годы. По исторически меркам это небольшой отрезок времени. Но события, которые состоялись в этот период вполне можно назвать эпохальными: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распад  Советского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Союза, национальный кризис в Чеченской Республике, отмеченный двумя кровавыми войнами, развалом экономики, наконец, возрождение республики. Всё это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наблюдал  не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телевизионных репортажах и хрониках, а «в режиме реального времени», находясь  вместе со своим народом и своим профсоюзом, что  придаёт особую ценность работе.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признаётся сам автор «Хронология борьбы и труда» не художественное произведение, не мемуары, а документальное свидетельство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того,  как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 отстаивал право на своё собственное существование и достойную жизнь своих членов. Безусловно, эта книга не рядовой сборник докладов и выступлений,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а  настоящее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пособие для профсоюзных работников, соединившее в себе множество идей, концептуальных вопросов, практических советов.  Ценность работы и в том, что она содержит многочисленные факты, необходимые для объективного освещения этого периода в истории народного образования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и  профсоюзного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Чеченской Республики. Мы узнаём, например,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  в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1979 году 77,8% чеченцев и ингушей свободно владели русским языком, в 1983 году в 200 сельских школах не вёлся иностранный язык, в 1986 году Обком профсоюза работников просвещения, высшей школы и научных учреждений имел два студенческих клуба, две библиотеки, два Дома работников просвещения, в 2006 году в образовательной сфере республики было занято 28 тысяч человек, а учащихся и студентов было 260 тысяч. Эти разнообразные конкретные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примеры  превращают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работу в ценный исторический источник, который, несомненно, будет ещё многократно востребован.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своих выступлениях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и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  постоянно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обращается к истории, опыту прошлых поколений, критически оценивая этот опыт, но, не отбрасывая всё, что было накоплено профсоюзным движением за прошедшие годы.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 </w:t>
      </w:r>
      <w:r w:rsidR="00BB630D"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предстаёт как</w:t>
      </w: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человек  имеющий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позицию и умеющий её отстаивать.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  заключается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том, чтобы  в любых условиях защищать человека труда.  Находясь с 16 летнего возраста на общественной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работе,  пережив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немало драматических событий, 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даже в самые сложные периоды своей жизни  оставался верным этой позиции. 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одном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выступлений в числе необходимых качеств профсоюзного лидера он назвал  «умение преодолевать страх». «Трусу в профсоюзе нет места» —  это не просто лозунг, броская фраза — этой заповеди он всегда следовал лично. Разве не требовало большого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личного  мужества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 гражданского противостояния в Чеченской Республике предложение «провести межотраслевой митинг трудящихся и потребовать от противоборствующих сторон прекратить незаконные действия, разоружиться, укрепить общественный порядок, решать вопросы власти мирным, конституционным путём».  Разве не требовалось гражданское и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личное  мужество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период, когда руководство профсоюза стали шельмовать как провокаторов и агентов </w:t>
      </w: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российских спецслужб, заявить о том, что не поддерживает вооружение молодёжи и захват Дома профсоюзов,  а   на 8 съезде Профсоюзов в мае 1998 года обратить внимание  на возросшее число преступных посягательств против  русскоязычной  части населения. Многие выступления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неизменно  проникнуты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социальным оптимизмом. Отмечая ухудшение ситуации, нарастание груза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проблем,  председатель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Профсоюза даже в самых критических ситуациях  каждый раз призывает не отчаиваться, не впадать в панику, а пытаться общими усилиями искать выходы из кризиса.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Вся деятельность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Профсоюза  проникнута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заботой об образовании и людях, которые трудятся в этой сфере. В работе отчётливо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прослеживается  идея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  что Профсоюз, профсоюзные организации не должны стоять в стороне от процессов, которые происходят  сфере народного образования,  будь то оплата труда учителя, условия его труда и жизни, морально-психологический климат и т. д. Многие проблемы, которые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поднимает 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вполне можно отнести к категории «вечных». Скажем, тема «укрепления содружества школы, семьи и общественности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»,  «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повышение общественного престижа учителя», «трудовое обучение»,  «профессиональная ориентация» и др.   На всех этапах своей истории профсоюзные организации способствовали решению этих задач. Профсоюз приложил немало усилий для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сохранения  образовательной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Чечни в общем образовательном пространстве России. Даже в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сложных  условиях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кризиса под давлением профсоюза было принято 23 Указа в пользу работников образования. При этом Профсоюз и его лидер отнюдь не заняли позицию потребительского отношения к власти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и  государству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,   понимая,  что и от образования общество ожидает высокого качества педагогической работы.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Деятельность Профсоюза проникнута особой заботой об учителе, как главной фигуре образовательного процесса, его положении, общественном статусе. Учитель справедливо характеризуется как «доверенное лицо общества в воспитании наших детей…».   Отсюда и «задачи профсоюзных организаций состоят в том, чтобы проявлять постоянную заботу о создании учителям необходимых условий для работы: утверждать научно обоснованный подход к составлению учебного расписания, поддерживать морально-психологический климат в коллективе, атмосферу принципиальности и нетерпимости к любым нарушениям профессиональной этики». «Низкий поклон и сердечное спасибо учителю за его выдержку», — это не просто этикетная формула, звучащая во многих выступлениях.  Забота об учителе рассматривается как главное предназначение профсоюза. Принципиально важно, что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  никогда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носила абстрактный характер, а  всегда воплощалась в конкретных требованиях и конкретных делах профсоюза.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можно проиллюстрировать на примере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борьбы  за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достойную оплату труда. Необходимо подчеркнуть, что помимо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общей  проблемы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  низкой оплаты труда работникам  сферы образования  на плечи чеченских учителей легли ещё и местные проблемы, связанные с вынужденным простоем по причине военных действий. Два года и три месяца они работали, по сути дела, без оплаты. По словам автора, это был «бесплатный труд во имя детей».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  выступлениям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можно проследить всю драматическую историю борьбы профсоюза за достойную оплату труда. Профсоюз и его лидер всегда придерживались принципа, что оплата труда работникам народного образования должна быть достойной при любой власти. Следуя   этому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принципу,  председатель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публично  озвучивает позицию Профсоюза,  детально    разбирает все тонкости оплаты труда, ведёт  непростые переговоры с властными структурами, требует погасить задолженность по зарплате за период военных действий, оплатить задолженность по  больничным листам и т. д. </w:t>
      </w: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Порой,  приходилось прилагать недюжинные  усилия, следуя заповеди, что  «деньги не раздают, их отвоёвывают и не поодиночке, а коллективно».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И  при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активном участии Профсоюза меняется ситуация с оплатой труда в республике в сфере образования.  Если на протяжении многих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  заработная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плата работников образования  отставала от средней зарплаты по республике, то в 2013 году   средняя зарплата по республике за 9 месяцев составила 19955 рублей, а средняя зарплата педагогических работников 20862 рубля. Эта история подтверждает, что «без профсоюза учитель остался бы незащищённым в самой важной сфере – сфере оплаты труда». Не случайно «вопрос об оплате труда был и остаётся для профсоюзов главным и принципиальным…».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протяжении многих лет одним из наиболее    резонансных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  оставалась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   оплаты за коммунальные услуги. 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не устаёт повторять о праве учителя на бесплатное жильё, с отоплением и освещением. В одном из выступлений делает даже исторический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экскурс  в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эту проблему, ссылается  на опыт царской России и Советского Союза. Нельзя также не отметить, что настойчивостью и стараниями профсоюза и его лидера в 2009 году при профсоюзе был создан Фонд социальной поддержки учителей, который выдал беспроцентных займов на сумму более 113 млн. рублей.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не только о материальном заботится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Магомедович. Профсоюз готовит и издаёт Энциклопедию народных и заслуженных учителей Чеченской Республики. Теплотой и лиричностью проникнуты слова об учительских династиях. При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этом  руководитель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Профсоюза  никогда не забывает подчеркнуть, что в системе народного образования работают тысячи самых разных специалистов, обслуживающий и вспомогательный персонал  и что Профсоюз не имеет права забывать об их положении.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  глубоко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осмыслена роль и место профсоюзов в современном обществе. Через все выступления проходит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убеждённость  в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объективной необходимости.  Ибо профсоюз – это «не выдумка отдельных личностей», «это исторически сложившийся, выстраданный трудящимися социум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»,  «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союз людей одной социальной крови», который создаётся для оказания помощи друг другу.  Автор справедливо подчёркивает, что авторитет профсоюза, его имидж зависит от его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способности  отстаивать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социально-трудовые и профессиональные права членов профсоюза. Поэтому профсоюз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—  «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место, где разыгрываются дефициты, организуется чаепитие и раздаются подарки…». «Жизнь учит, мировой опыт подтверждает, что только слаженная, хорошо организованная самозащита, основанная на коллективных действиях, позволяет трудящимся добиться улучшения жизненных условий», — озвученный в трудном 1992 году этот тезис не теряет своей актуальности и сегодня.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Занимая принципиальную, а порой и предельно жёсткую позицию по отношению к власти автор в тоже время подчёркивает, что профсоюзам как зрелой организации не свойственна её огульная критика. Более того, «подлинные профсоюзы никогда не были сторонниками бузы и смуты, напротив, они кровно заинтересованы в порядке и законности».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Взвешенная,  ответственная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позиция профсоюза   проявляется и в том, что  «мы никогда не были сторонниками громких акций  и шумных действий, мы постоянно идём на контакты, переговоры, компромиссы».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  председатель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Профсоюза принципиально выступает против того,  чтобы в социальном диалоге и общественной жизни  «отводить профсоюзам место второго эшелона».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Десятилетний период преследования профсоюзов в республике убедительно продемонстрировал их возможность к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самосохранению,  удивительную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социальную устойчивость. При условии, что лидер верен своим убеждениям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и  умеет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сплотить вокруг </w:t>
      </w: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себя единомышленников. Здесь в полной мере проявились качества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Хизира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Магомедовича как лидера. В кризисный период он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формулирует  задачу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 «быть постоянно готовым к сохранению и укреплению профсоюза, его рядов, защите конституционного права на профсоюзную деятельность». Председатель не изменял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своей  убеждённости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 высокой общественной миссии профсоюзов в самые трудные периоды. И когда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правительство  Дудаева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1991 году  принимает решение о роспуске профсоюза, и когда  Масхадов предпринимает попытку заменить профсоюзы шариатскими комитетами, и когда в  1999 году комендант освобождённых районов генерал Столяров приостанавливает деятельность профсоюзов.   Был даже сформирован обком для подпольной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работы,  утверждён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лидер и 100 наиболее преданных профсоюзу активистов.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называет главные причины, по которым профсоюз выстоял и сохранился. Это вера в людей («всё делают люди»), «благодаря организационной крепости и сплочённости первичных профсоюзных организаций», потому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  «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профсоюз не узко цеховая организация, которая борется только за свои интересы» и потому, что профсоюз  «решительно отмежевался от политики и политической междоусобицы».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Вызывает глубокое уважение, что практически через все выступления проходит требование соблюдения законности, как со стороны власти, так и со стороны профсоюзов. Автор рассматривает это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требование  как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неоспоримую истину, своего рода аксиому:  «профсоюз как организация общественная  работает и действует только на основе закона, только по закону, только от имени закона». Эта позиция, выраженная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принципом  «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нельзя подменять закон своеволием»,  была озвучена ещё в августе  1985 года на республиканской педагогической конференции. В выступлениях приводятся многочисленные примеры нарушения прав работников, норм Трудового кодекса, должностного произвола администрации и властей. Автор настойчиво призывает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выработать  потребность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«при любых больших и малых трудовых спорах искать ответы о путях их решения в Трудовом Кодексе». Даже в условиях беззакония он не сомневается, что профсоюзы должны добиваться справедливости только опираясь на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право,  ибо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«для профсоюза средой жизни является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закон».Пожалуй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наиболее чётко эта позиция выражена в выступлении на Учредительном съезде профессиональных союзов ЧРИ в июле 1999 года: «Профсоюз не должен становиться рядом ни с директором, ни с префектом, ни даже с президентом. Мы должны стоять рядом с законом, Конституцией».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многими бурными событиями и «горячими вопросами» в Профсоюзе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никогда  не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забывали о внутри профсоюзной работе. В этом смысле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книга  является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концентрацией уникального опыта её эффективной организации.  По сути дела, нет такого направления профсоюзной работы, которое не нашло бы в ней основательного анализа и осмысления. Особое внимание уделяется первичной профсоюзной организации,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понимая,  что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первичка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это «основа, фундамент Профсоюза, от прочности которого зависит само профсоюзное здание».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Ведётся целенаправленная работа по кадровому укреплению профсоюза. Так, если в    2012 год в Профсоюзе было 48 штатных работников, то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в  2014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уже  более 100. Из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  62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освобождённых председателя профкома.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сути дела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первичках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 институт штатных профсоюзных работников. Организационному укреплению Профсоюза, совершенствованию его структуры, кадровой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политике  посвящены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специальные доклады на 5 и 6 Пленумах республиканского Совета профсоюза соответственно в марте и декабре 2012 года.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Актуальным для профсоюзов всегда был вопрос разумного использования финансов. Об этой проблеме говорится ещё в 1987 году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  Пленуме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Облсофпрофа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Профсоюзу удалось решить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её  как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интересах общего дела, так и каждого члена профсоюза. А именно, </w:t>
      </w: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сконцентрировать все взносы в Республиканской организации. Благодаря такой финансовой политике удалось, в частности, наладить эффективную информационно-пропагандистскую работу, выпустить различной полиграфической продукции на сумму более 13 млн. рублей, оказывать материальную помощь нуждающимся и т. д. При этом 70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%  денежных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  средств возвращаются в районы, первичные организации и членам профсоюза. Но «поступают они организованно, целенаправленно, под контролем и с учётом интересов профсоюза, его целей и задач».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профсоюзе накоплен ценный опыт подготовки и обучения кадров и актива. С 2003 года при каждом рай (гор) совете открыты школы профактива. С 2007 года при республиканском Совете Профсоюза работает постоянно действующий семинар. При территориальной организации работает «Школа профсоюзного актива», Одним из достижений и предметом особой заботы и внимания председателя являются профсоюзные кружки. Например,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в  2008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их было 270, в них занималось более 4 тысяч педагогических работников, штатные работники проходят обучение в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АТи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СО. При республиканском Совете открыт методический кабинет.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своих выступлениях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не устаёт подчёркивать роль актива и лидера: «…каким будет профсоюз – свободным и способным защищать интересы своих членов или он будет цветным и карманным, зависит от того, кого изберут в коллективный орган руководства, в профком, и кто возглавит профсоюзную организацию». Поэтому «…крайне важно для начинающего профсоюзного деятеля формировать в себе эту идейную стойкость и твёрдую веру в возможности профсоюза и обретать навыки защищать и отстаивать его».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Профсоюзу на протяжении многих лет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удаётся  поддерживать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высокий  уровень профсоюзного членства.  Так,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в  1986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профсоюз объединял 680 организаций и 39 тысяч членов профсоюза,  в 1990 году 45 тысяч членов профсоюза. К началу 2014 года в профсоюзе состояло более 44 тысячи 300 человек, охват профсоюзным членством работников отрасли составил 97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%,  а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концу 2014 года более 50 тысяч. Такое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состояние  профсоюзного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членства отражает  влияние и авторитет Профсоюза.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Отмечая успехи,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Магомедович  в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тоже время неизменно  подчёркивает, что «зрелой организации не подобает впадать в самолюбование». Практически в каждом выступлении имеет место критика в адрес «своего ведомства». Председатель открыто говорит и об утрате доверия к профсоюзу (доклад на Учредительной конференции профсоюза 8 декабря 1990 года), и об изоляции профорганов от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трудящихся,  и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слабой исполнительской дисциплине, и о профсоюзных стендах, которые скорее напоминают «украшение стен, нежели рабочий орган профкома» и т. д.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  можно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сделать однозначный вывод, что автора никогда не покидала вера в возможности профсоюзов, выполнять не только  социальную, но и  моральную миссию, быть «милосердной и миротворческой организацией». Этическая позиция отчётливо просматривается практически в каждом выступлении. Многократно звучит мысль о том,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  «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…чёрствому и бездушному среди нас не должно быть места», что  профсоюзная работа «требует особого дара – умения сопереживать чужой судьбе».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Нельзя не отметить ещё одно достоинство книги.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Написанная  хорошим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литературным языком, она без преувеличения является  увлекательным чтением. Многие выражения вполне могут претендовать на статус профсоюзных афоризмов. Вот некоторые из них: «быть добрым легко», а  «быть справедливым – и тяжело и опасно»; «движение, действия, деятельность – вот способ нашего существования»; профсоюзному работнику «…следует приучить себя разговаривать языком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колдоговора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»; «профсоюзный лидер с качествами тихого и скромного канцеляриста станет лишь тормозом в нашей работе»; </w:t>
      </w: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«профсоюзное собрание – это не  «прочие вопросы», это «отдельный, большой, обстоятельный разговор»; «чем больше мы помогаем людям…, тем больше у нас возможностей обеспечить себе место в небесном раю».</w:t>
      </w:r>
    </w:p>
    <w:p w:rsidR="009B22B2" w:rsidRPr="009B22B2" w:rsidRDefault="009B22B2" w:rsidP="009B22B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этапы развития профсоюза за 25 лет, </w:t>
      </w:r>
      <w:proofErr w:type="spell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Хизир</w:t>
      </w:r>
      <w:proofErr w:type="spell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Магомедович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назвал  период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начиная   с 2009 года  «периодом творчества». А </w:t>
      </w:r>
      <w:proofErr w:type="gramStart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творчество это</w:t>
      </w:r>
      <w:proofErr w:type="gramEnd"/>
      <w:r w:rsidRPr="009B22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состояние поиска, движения, открытий, достижений, побед. Хочется искренне пожелать Профсоюзу и его лидеру как можно дольше оставаться в этом состоянии.</w:t>
      </w:r>
    </w:p>
    <w:p w:rsidR="009B22B2" w:rsidRDefault="009B22B2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9B22B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«Трудное позади – лучшее впереди!».</w:t>
      </w: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9B22B2">
      <w:pPr>
        <w:shd w:val="clear" w:color="auto" w:fill="FFFFFF"/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012C27" w:rsidRDefault="00012C27" w:rsidP="00B006B1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2060"/>
          <w:sz w:val="48"/>
          <w:szCs w:val="26"/>
          <w:bdr w:val="none" w:sz="0" w:space="0" w:color="auto" w:frame="1"/>
          <w:lang w:eastAsia="ru-RU"/>
        </w:rPr>
      </w:pPr>
    </w:p>
    <w:p w:rsidR="0018319A" w:rsidRPr="009B22B2" w:rsidRDefault="0018319A" w:rsidP="00012C2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8319A" w:rsidRPr="009B22B2" w:rsidSect="00B006B1">
      <w:pgSz w:w="11906" w:h="16838"/>
      <w:pgMar w:top="1134" w:right="850" w:bottom="1134" w:left="993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E7"/>
    <w:rsid w:val="00012C27"/>
    <w:rsid w:val="0018319A"/>
    <w:rsid w:val="00546BE7"/>
    <w:rsid w:val="009B22B2"/>
    <w:rsid w:val="00B006B1"/>
    <w:rsid w:val="00BB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E37D"/>
  <w15:chartTrackingRefBased/>
  <w15:docId w15:val="{1D841CC6-E4E1-47F0-BFBE-079BE8E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27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006B1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B006B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2752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Профсоюзу 30 лет                                                                            «Трудное позади – лучшее впереди!»</dc:title>
  <dc:subject/>
  <dc:creator>Пользователь</dc:creator>
  <cp:keywords/>
  <dc:description/>
  <cp:lastModifiedBy>kompAS</cp:lastModifiedBy>
  <cp:revision>6</cp:revision>
  <cp:lastPrinted>2020-09-23T07:35:00Z</cp:lastPrinted>
  <dcterms:created xsi:type="dcterms:W3CDTF">2020-09-22T08:10:00Z</dcterms:created>
  <dcterms:modified xsi:type="dcterms:W3CDTF">2020-09-26T08:47:00Z</dcterms:modified>
</cp:coreProperties>
</file>